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1E3A8A"/>
          <w:sz w:val="48"/>
        </w:rPr>
        <w:t>Estrategia Integral de Identidad Sonora y Licenciamiento</w:t>
      </w:r>
    </w:p>
    <w:p>
      <w:pPr>
        <w:jc w:val="center"/>
      </w:pPr>
      <w:r>
        <w:rPr>
          <w:color w:val="4A5568"/>
          <w:sz w:val="32"/>
        </w:rPr>
        <w:t>Propuesta de Ingeniería Cultural para ICPR Junior College</w:t>
      </w:r>
    </w:p>
    <w:p/>
    <w:p>
      <w:pPr>
        <w:jc w:val="center"/>
      </w:pPr>
      <w:r>
        <w:rPr>
          <w:b/>
        </w:rPr>
        <w:t xml:space="preserve">Presentado por: </w:t>
      </w:r>
      <w:r>
        <w:t>InnovAi Solutions</w:t>
        <w:br/>
      </w:r>
      <w:r>
        <w:rPr>
          <w:b/>
        </w:rPr>
        <w:t xml:space="preserve">Fecha: </w:t>
      </w:r>
      <w:r>
        <w:t>Diciembre 2024</w:t>
        <w:br/>
      </w:r>
      <w:r>
        <w:rPr>
          <w:b/>
        </w:rPr>
        <w:t xml:space="preserve">Consultor: </w:t>
      </w:r>
      <w:r>
        <w:t>René E. Rey</w:t>
      </w:r>
    </w:p>
    <w:p>
      <w:r>
        <w:br w:type="page"/>
      </w:r>
    </w:p>
    <w:p>
      <w:pPr>
        <w:pStyle w:val="Heading1"/>
      </w:pPr>
      <w:r>
        <w:rPr>
          <w:color w:val="1E3A8A"/>
        </w:rPr>
        <w:t>Memo Ejecutivo</w:t>
      </w:r>
    </w:p>
    <w:p>
      <w:r>
        <w:t>La saturación publicitaria en el ciclo Q4 2024 genera fatiga de anuncios entre los prospectos de matrícula, reduciendo la efectividad de las campañas digitales tradicionales.</w:t>
      </w:r>
    </w:p>
    <w:p>
      <w:r>
        <w:t>Esta propuesta ofrece una solución estratégica basada en ingeniería cultural y activos sonoros originales que refuerzan la identidad institucional de ICPR.</w:t>
      </w:r>
    </w:p>
    <w:p>
      <w:pPr>
        <w:pStyle w:val="Heading2"/>
      </w:pPr>
      <w:r>
        <w:rPr>
          <w:color w:val="2563EB"/>
        </w:rPr>
        <w:t>Puntos Clave</w:t>
      </w:r>
    </w:p>
    <w:p>
      <w:pPr>
        <w:pStyle w:val="ListNumber"/>
      </w:pPr>
      <w:r>
        <w:t>1. Diagnóstico Crítico: Identificación del "Ad Fatigue" como barrera principal en la conversión de prospectos durante el periodo de matrícula intensiva.</w:t>
      </w:r>
    </w:p>
    <w:p>
      <w:pPr>
        <w:pStyle w:val="ListNumber"/>
      </w:pPr>
      <w:r>
        <w:t>2. Solución Diferenciadora: Activos sonoros originales con raíces culturales puertorriqueñas que humanizan la marca y generan conexión emocional auténtica.</w:t>
      </w:r>
    </w:p>
    <w:p>
      <w:pPr>
        <w:pStyle w:val="ListNumber"/>
      </w:pPr>
      <w:r>
        <w:t>3. Propuesta de Valor: Licenciamiento flexible con bonificación del 100% en Escenario B, garantizando dominio total de la narrativa sonora institucional.</w:t>
      </w:r>
    </w:p>
    <w:p>
      <w:r>
        <w:br w:type="page"/>
      </w:r>
    </w:p>
    <w:p>
      <w:pPr>
        <w:pStyle w:val="Heading1"/>
      </w:pPr>
      <w:r>
        <w:rPr>
          <w:color w:val="1E3A8A"/>
        </w:rPr>
        <w:t>Diagnóstico: El Desafío del Ad Fatigue</w:t>
      </w:r>
    </w:p>
    <w:p>
      <w:r>
        <w:t>Durante el ciclo de matrícula Q4 2024, los prospectos están expuestos a un promedio de 300+ impresiones publicitarias diarias de múltiples instituciones educativas, generando saturación cognitiva y reduciendo drásticamente las tasas de conversión.</w:t>
      </w:r>
    </w:p>
    <w:p>
      <w:pPr>
        <w:pStyle w:val="Heading2"/>
      </w:pPr>
      <w:r>
        <w:rPr>
          <w:color w:val="2563EB"/>
        </w:rPr>
        <w:t>Estadísticas Clave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Métrica</w:t>
            </w:r>
          </w:p>
        </w:tc>
        <w:tc>
          <w:tcPr>
            <w:tcW w:type="dxa" w:w="4320"/>
          </w:tcPr>
          <w:p>
            <w:r>
              <w:rPr>
                <w:b/>
              </w:rPr>
              <w:t>Valor</w:t>
            </w:r>
          </w:p>
        </w:tc>
      </w:tr>
      <w:tr>
        <w:tc>
          <w:tcPr>
            <w:tcW w:type="dxa" w:w="4320"/>
          </w:tcPr>
          <w:p>
            <w:r>
              <w:t>Reducción en CTR por fatiga publicitaria</w:t>
            </w:r>
          </w:p>
        </w:tc>
        <w:tc>
          <w:tcPr>
            <w:tcW w:type="dxa" w:w="4320"/>
          </w:tcPr>
          <w:p>
            <w:r>
              <w:t>-40%</w:t>
            </w:r>
          </w:p>
        </w:tc>
      </w:tr>
      <w:tr>
        <w:tc>
          <w:tcPr>
            <w:tcW w:type="dxa" w:w="4320"/>
          </w:tcPr>
          <w:p>
            <w:r>
              <w:t>Usuarios que ignoran anuncios repetitivos</w:t>
            </w:r>
          </w:p>
        </w:tc>
        <w:tc>
          <w:tcPr>
            <w:tcW w:type="dxa" w:w="4320"/>
          </w:tcPr>
          <w:p>
            <w:r>
              <w:t>85%</w:t>
            </w:r>
          </w:p>
        </w:tc>
      </w:tr>
      <w:tr>
        <w:tc>
          <w:tcPr>
            <w:tcW w:type="dxa" w:w="4320"/>
          </w:tcPr>
          <w:p>
            <w:r>
              <w:t>Tiempo promedio de atención en anuncios</w:t>
            </w:r>
          </w:p>
        </w:tc>
        <w:tc>
          <w:tcPr>
            <w:tcW w:type="dxa" w:w="4320"/>
          </w:tcPr>
          <w:p>
            <w:r>
              <w:t>3.2 segundos</w:t>
            </w:r>
          </w:p>
        </w:tc>
      </w:tr>
      <w:tr>
        <w:tc>
          <w:tcPr>
            <w:tcW w:type="dxa" w:w="4320"/>
          </w:tcPr>
          <w:p>
            <w:r>
              <w:t>Instituciones compitiendo por la misma audiencia</w:t>
            </w:r>
          </w:p>
        </w:tc>
        <w:tc>
          <w:tcPr>
            <w:tcW w:type="dxa" w:w="4320"/>
          </w:tcPr>
          <w:p>
            <w:r>
              <w:t>12+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E3A8A"/>
        </w:rPr>
        <w:t>Activo Principal: "La Trulla del Saber"</w:t>
      </w:r>
    </w:p>
    <w:p>
      <w:pPr>
        <w:pStyle w:val="Heading2"/>
      </w:pPr>
      <w:r>
        <w:rPr>
          <w:color w:val="2563EB"/>
        </w:rPr>
        <w:t>Ingeniería Cultural Puertorriqueña</w:t>
      </w:r>
    </w:p>
    <w:p>
      <w:r>
        <w:t>A diferencia de la música de archivo estándar, este activo se fundamenta en una Ingeniería Cultural diseñada específicamente para el mercado local.</w:t>
      </w:r>
    </w:p>
    <w:p>
      <w:pPr>
        <w:pStyle w:val="Heading2"/>
      </w:pPr>
      <w:r>
        <w:rPr>
          <w:color w:val="2563EB"/>
        </w:rPr>
        <w:t>Características Clave</w:t>
      </w:r>
    </w:p>
    <w:p>
      <w:pPr>
        <w:pStyle w:val="ListBullet"/>
      </w:pPr>
      <w:r>
        <w:t>Tradición y Modernidad: Parranda puertorriqueña con producción contemporánea</w:t>
      </w:r>
    </w:p>
    <w:p>
      <w:pPr>
        <w:pStyle w:val="ListBullet"/>
      </w:pPr>
      <w:r>
        <w:t>Instrumentación Orgánica: Uso real de Cuatro, Güiro y Panderos</w:t>
      </w:r>
    </w:p>
    <w:p>
      <w:pPr>
        <w:pStyle w:val="ListBullet"/>
      </w:pPr>
      <w:r>
        <w:t>Nostalgia Activa: Procesamiento moderno que conecta emocionalmente</w:t>
      </w:r>
    </w:p>
    <w:p>
      <w:pPr>
        <w:pStyle w:val="ListBullet"/>
      </w:pPr>
      <w:r>
        <w:t>Humanización de Marca: Entidad arraigada en la comunidad, no corporativa</w:t>
      </w:r>
    </w:p>
    <w:p>
      <w:r>
        <w:br w:type="page"/>
      </w:r>
    </w:p>
    <w:p>
      <w:pPr>
        <w:pStyle w:val="Heading1"/>
      </w:pPr>
      <w:r>
        <w:rPr>
          <w:color w:val="1E3A8A"/>
        </w:rPr>
        <w:t>Especificaciones Técnicas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Activo</w:t>
            </w:r>
          </w:p>
        </w:tc>
        <w:tc>
          <w:tcPr>
            <w:tcW w:type="dxa" w:w="1440"/>
          </w:tcPr>
          <w:p>
            <w:r>
              <w:rPr>
                <w:b/>
              </w:rPr>
              <w:t>Género</w:t>
            </w:r>
          </w:p>
        </w:tc>
        <w:tc>
          <w:tcPr>
            <w:tcW w:type="dxa" w:w="1440"/>
          </w:tcPr>
          <w:p>
            <w:r>
              <w:rPr>
                <w:b/>
              </w:rPr>
              <w:t>BPM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Tonalidad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Duración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Perfil</w:t>
            </w:r>
          </w:p>
        </w:tc>
      </w:tr>
      <w:tr>
        <w:tc>
          <w:tcPr>
            <w:tcW w:type="dxa" w:w="1440"/>
          </w:tcPr>
          <w:p>
            <w:r>
              <w:t>La Trulla del Saber</w:t>
            </w:r>
          </w:p>
        </w:tc>
        <w:tc>
          <w:tcPr>
            <w:tcW w:type="dxa" w:w="1440"/>
          </w:tcPr>
          <w:p>
            <w:r>
              <w:t>Seis Chorreao</w:t>
            </w:r>
          </w:p>
        </w:tc>
        <w:tc>
          <w:tcPr>
            <w:tcW w:type="dxa" w:w="1440"/>
          </w:tcPr>
          <w:p>
            <w:r>
              <w:t>138</w:t>
            </w:r>
          </w:p>
        </w:tc>
        <w:tc>
          <w:tcPr>
            <w:tcW w:type="dxa" w:w="1440"/>
          </w:tcPr>
          <w:p>
            <w:r>
              <w:t>Sol Mayor</w:t>
            </w:r>
          </w:p>
        </w:tc>
        <w:tc>
          <w:tcPr>
            <w:tcW w:type="dxa" w:w="1440"/>
          </w:tcPr>
          <w:p>
            <w:r>
              <w:t>Variable</w:t>
            </w:r>
          </w:p>
        </w:tc>
        <w:tc>
          <w:tcPr>
            <w:tcW w:type="dxa" w:w="1440"/>
          </w:tcPr>
          <w:p>
            <w:r>
              <w:t>Tradicional/Festivo</w:t>
            </w:r>
          </w:p>
        </w:tc>
      </w:tr>
      <w:tr>
        <w:tc>
          <w:tcPr>
            <w:tcW w:type="dxa" w:w="1440"/>
          </w:tcPr>
          <w:p>
            <w:r>
              <w:t>Tu Paso Gigante</w:t>
            </w:r>
          </w:p>
        </w:tc>
        <w:tc>
          <w:tcPr>
            <w:tcW w:type="dxa" w:w="1440"/>
          </w:tcPr>
          <w:p>
            <w:r>
              <w:t>Pop Tropical</w:t>
            </w:r>
          </w:p>
        </w:tc>
        <w:tc>
          <w:tcPr>
            <w:tcW w:type="dxa" w:w="1440"/>
          </w:tcPr>
          <w:p>
            <w:r>
              <w:t>115</w:t>
            </w:r>
          </w:p>
        </w:tc>
        <w:tc>
          <w:tcPr>
            <w:tcW w:type="dxa" w:w="1440"/>
          </w:tcPr>
          <w:p>
            <w:r>
              <w:t>Do Mayor</w:t>
            </w:r>
          </w:p>
        </w:tc>
        <w:tc>
          <w:tcPr>
            <w:tcW w:type="dxa" w:w="1440"/>
          </w:tcPr>
          <w:p>
            <w:r>
              <w:t>30 segundos</w:t>
            </w:r>
          </w:p>
        </w:tc>
        <w:tc>
          <w:tcPr>
            <w:tcW w:type="dxa" w:w="1440"/>
          </w:tcPr>
          <w:p>
            <w:r>
              <w:t>Aspiracional/Moderno</w:t>
            </w:r>
          </w:p>
        </w:tc>
      </w:tr>
    </w:tbl>
    <w:p/>
    <w:p>
      <w:pPr>
        <w:pStyle w:val="Heading2"/>
      </w:pPr>
      <w:r>
        <w:rPr>
          <w:color w:val="2563EB"/>
        </w:rPr>
        <w:t>Formatos de Entrega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Especificación</w:t>
            </w:r>
          </w:p>
        </w:tc>
        <w:tc>
          <w:tcPr>
            <w:tcW w:type="dxa" w:w="4320"/>
          </w:tcPr>
          <w:p>
            <w:r>
              <w:rPr>
                <w:b/>
              </w:rPr>
              <w:t>Valor</w:t>
            </w:r>
          </w:p>
        </w:tc>
      </w:tr>
      <w:tr>
        <w:tc>
          <w:tcPr>
            <w:tcW w:type="dxa" w:w="4320"/>
          </w:tcPr>
          <w:p>
            <w:r>
              <w:t>Formato de Entrega</w:t>
            </w:r>
          </w:p>
        </w:tc>
        <w:tc>
          <w:tcPr>
            <w:tcW w:type="dxa" w:w="4320"/>
          </w:tcPr>
          <w:p>
            <w:r>
              <w:t>WAV 24-bit / 48kHz</w:t>
            </w:r>
          </w:p>
        </w:tc>
      </w:tr>
      <w:tr>
        <w:tc>
          <w:tcPr>
            <w:tcW w:type="dxa" w:w="4320"/>
          </w:tcPr>
          <w:p>
            <w:r>
              <w:t>Formato Alternativo</w:t>
            </w:r>
          </w:p>
        </w:tc>
        <w:tc>
          <w:tcPr>
            <w:tcW w:type="dxa" w:w="4320"/>
          </w:tcPr>
          <w:p>
            <w:r>
              <w:t>MP3 320kbps</w:t>
            </w:r>
          </w:p>
        </w:tc>
      </w:tr>
      <w:tr>
        <w:tc>
          <w:tcPr>
            <w:tcW w:type="dxa" w:w="4320"/>
          </w:tcPr>
          <w:p>
            <w:r>
              <w:t>Metadatos</w:t>
            </w:r>
          </w:p>
        </w:tc>
        <w:tc>
          <w:tcPr>
            <w:tcW w:type="dxa" w:w="4320"/>
          </w:tcPr>
          <w:p>
            <w:r>
              <w:t>ID3 Tags incrustados</w:t>
            </w:r>
          </w:p>
        </w:tc>
      </w:tr>
      <w:tr>
        <w:tc>
          <w:tcPr>
            <w:tcW w:type="dxa" w:w="4320"/>
          </w:tcPr>
          <w:p>
            <w:r>
              <w:t>Calidad</w:t>
            </w:r>
          </w:p>
        </w:tc>
        <w:tc>
          <w:tcPr>
            <w:tcW w:type="dxa" w:w="4320"/>
          </w:tcPr>
          <w:p>
            <w:r>
              <w:t>Broadcast Ready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E3A8A"/>
        </w:rPr>
        <w:t>Matriz de Implementación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Canal / Plataforma</w:t>
            </w:r>
          </w:p>
        </w:tc>
        <w:tc>
          <w:tcPr>
            <w:tcW w:type="dxa" w:w="2160"/>
          </w:tcPr>
          <w:p>
            <w:r>
              <w:rPr>
                <w:b/>
              </w:rPr>
              <w:t>La Trulla del Saber</w:t>
            </w:r>
          </w:p>
        </w:tc>
        <w:tc>
          <w:tcPr>
            <w:tcW w:type="dxa" w:w="2160"/>
          </w:tcPr>
          <w:p>
            <w:r>
              <w:rPr>
                <w:b/>
              </w:rPr>
              <w:t>Tu Paso Gigante</w:t>
            </w:r>
          </w:p>
        </w:tc>
        <w:tc>
          <w:tcPr>
            <w:tcW w:type="dxa" w:w="2160"/>
          </w:tcPr>
          <w:p>
            <w:r>
              <w:rPr>
                <w:b/>
              </w:rPr>
              <w:t>Notas</w:t>
            </w:r>
          </w:p>
        </w:tc>
      </w:tr>
      <w:tr>
        <w:tc>
          <w:tcPr>
            <w:tcW w:type="dxa" w:w="2160"/>
          </w:tcPr>
          <w:p>
            <w:r>
              <w:t>Redes Sociales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Uso Alternativo</w:t>
            </w:r>
          </w:p>
        </w:tc>
        <w:tc>
          <w:tcPr>
            <w:tcW w:type="dxa" w:w="2160"/>
          </w:tcPr>
          <w:p>
            <w:r>
              <w:t>Historias, Reels, Posts</w:t>
            </w:r>
          </w:p>
        </w:tc>
      </w:tr>
      <w:tr>
        <w:tc>
          <w:tcPr>
            <w:tcW w:type="dxa" w:w="2160"/>
          </w:tcPr>
          <w:p>
            <w:r>
              <w:t>YouTube / Video Ads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Uso Alternativo</w:t>
            </w:r>
          </w:p>
        </w:tc>
        <w:tc>
          <w:tcPr>
            <w:tcW w:type="dxa" w:w="2160"/>
          </w:tcPr>
          <w:p>
            <w:r>
              <w:t>Pre-roll, Mid-roll</w:t>
            </w:r>
          </w:p>
        </w:tc>
      </w:tr>
      <w:tr>
        <w:tc>
          <w:tcPr>
            <w:tcW w:type="dxa" w:w="2160"/>
          </w:tcPr>
          <w:p>
            <w:r>
              <w:t>Radio Tradicional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Uso Alternativo</w:t>
            </w:r>
          </w:p>
        </w:tc>
        <w:tc>
          <w:tcPr>
            <w:tcW w:type="dxa" w:w="2160"/>
          </w:tcPr>
          <w:p>
            <w:r>
              <w:t>Spots 30s y 60s</w:t>
            </w:r>
          </w:p>
        </w:tc>
      </w:tr>
      <w:tr>
        <w:tc>
          <w:tcPr>
            <w:tcW w:type="dxa" w:w="2160"/>
          </w:tcPr>
          <w:p>
            <w:r>
              <w:t>Spotify / Streaming</w:t>
            </w:r>
          </w:p>
        </w:tc>
        <w:tc>
          <w:tcPr>
            <w:tcW w:type="dxa" w:w="2160"/>
          </w:tcPr>
          <w:p>
            <w:r>
              <w:t>Uso Secundario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Audio ads 30s</w:t>
            </w:r>
          </w:p>
        </w:tc>
      </w:tr>
      <w:tr>
        <w:tc>
          <w:tcPr>
            <w:tcW w:type="dxa" w:w="2160"/>
          </w:tcPr>
          <w:p>
            <w:r>
              <w:t>Eventos Institucionales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Uso Alternativo</w:t>
            </w:r>
          </w:p>
        </w:tc>
        <w:tc>
          <w:tcPr>
            <w:tcW w:type="dxa" w:w="2160"/>
          </w:tcPr>
          <w:p>
            <w:r>
              <w:t>Ferias, Open House</w:t>
            </w:r>
          </w:p>
        </w:tc>
      </w:tr>
      <w:tr>
        <w:tc>
          <w:tcPr>
            <w:tcW w:type="dxa" w:w="2160"/>
          </w:tcPr>
          <w:p>
            <w:r>
              <w:t>Sitio Web ICPR</w:t>
            </w:r>
          </w:p>
        </w:tc>
        <w:tc>
          <w:tcPr>
            <w:tcW w:type="dxa" w:w="2160"/>
          </w:tcPr>
          <w:p>
            <w:r>
              <w:t>Uso Secundario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Background audio</w:t>
            </w:r>
          </w:p>
        </w:tc>
      </w:tr>
      <w:tr>
        <w:tc>
          <w:tcPr>
            <w:tcW w:type="dxa" w:w="2160"/>
          </w:tcPr>
          <w:p>
            <w:r>
              <w:t>Email Marketing</w:t>
            </w:r>
          </w:p>
        </w:tc>
        <w:tc>
          <w:tcPr>
            <w:tcW w:type="dxa" w:w="2160"/>
          </w:tcPr>
          <w:p>
            <w:r>
              <w:t>Uso Secundario</w:t>
            </w:r>
          </w:p>
        </w:tc>
        <w:tc>
          <w:tcPr>
            <w:tcW w:type="dxa" w:w="2160"/>
          </w:tcPr>
          <w:p>
            <w:r>
              <w:t>Uso Principal</w:t>
            </w:r>
          </w:p>
        </w:tc>
        <w:tc>
          <w:tcPr>
            <w:tcW w:type="dxa" w:w="2160"/>
          </w:tcPr>
          <w:p>
            <w:r>
              <w:t>Videos embebidos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E3A8A"/>
        </w:rPr>
        <w:t>Paquetes de Activos Sonoros</w:t>
      </w:r>
    </w:p>
    <w:p>
      <w:pPr>
        <w:pStyle w:val="Heading2"/>
      </w:pPr>
      <w:r>
        <w:rPr>
          <w:color w:val="2563EB"/>
        </w:rPr>
        <w:t>Escenario A: Activación Táctica</w:t>
      </w:r>
    </w:p>
    <w:p>
      <w:r>
        <w:t>Habilitación jurídica y técnica inmediata del activo principal para radio y redes sociales.</w:t>
      </w:r>
    </w:p>
    <w:p>
      <w:pPr>
        <w:pStyle w:val="ListBullet"/>
      </w:pPr>
      <w:r>
        <w:t>• Archivo Maestro Final de "La Trulla del Saber" (WAV y MP3)</w:t>
      </w:r>
    </w:p>
    <w:p>
      <w:pPr>
        <w:pStyle w:val="ListBullet"/>
      </w:pPr>
      <w:r>
        <w:t>• Certificado de Licencia de Uso Comercial Limitado (Temporada Navideña 2025)</w:t>
      </w:r>
    </w:p>
    <w:p>
      <w:pPr>
        <w:pStyle w:val="ListBullet"/>
      </w:pPr>
      <w:r>
        <w:t>• Cesión de derechos de sincronización para Radio y TV local</w:t>
      </w:r>
    </w:p>
    <w:p>
      <w:pPr>
        <w:pStyle w:val="ListBullet"/>
      </w:pPr>
      <w:r>
        <w:t>• Formatos: WAV 24-bit y MP3 320kbps</w:t>
      </w:r>
    </w:p>
    <w:p>
      <w:pPr>
        <w:pStyle w:val="ListBullet"/>
      </w:pPr>
      <w:r>
        <w:t>• Uso en todos los canales digitales</w:t>
      </w:r>
    </w:p>
    <w:p>
      <w:pPr>
        <w:pStyle w:val="ListBullet"/>
      </w:pPr>
      <w:r>
        <w:t>• Entrega en menos de 4 horas</w:t>
      </w:r>
    </w:p>
    <w:p>
      <w:r>
        <w:rPr>
          <w:b/>
        </w:rPr>
        <w:t>Inversión: $450</w:t>
      </w:r>
      <w:r>
        <w:t xml:space="preserve"> (Valor de mercado: $1,200 | Bonificación: -$750 | Tarifa técnica)</w:t>
      </w:r>
    </w:p>
    <w:p/>
    <w:p>
      <w:pPr>
        <w:pStyle w:val="Heading2"/>
      </w:pPr>
      <w:r>
        <w:rPr>
          <w:color w:val="2563EB"/>
        </w:rPr>
        <w:t>Escenario B: Suite Estratégica Integral (RECOMENDADO)</w:t>
      </w:r>
    </w:p>
    <w:p>
      <w:r>
        <w:t>Asegurar el dominio de la narrativa sonora y mitigar el desgaste auditivo (Ad Fatigue).</w:t>
      </w:r>
    </w:p>
    <w:p>
      <w:pPr>
        <w:pStyle w:val="ListBullet"/>
      </w:pPr>
      <w:r>
        <w:t>• Librería completa de 4 activos sonoros</w:t>
      </w:r>
    </w:p>
    <w:p>
      <w:pPr>
        <w:pStyle w:val="ListBullet"/>
      </w:pPr>
      <w:r>
        <w:t>• Pista 1: "La Trulla del Saber" (Activo principal)</w:t>
      </w:r>
    </w:p>
    <w:p>
      <w:pPr>
        <w:pStyle w:val="ListBullet"/>
      </w:pPr>
      <w:r>
        <w:t>• Pista 2: Alto Impacto - Éxito Fonético (30 segundos, estilo Radio Hit)</w:t>
      </w:r>
    </w:p>
    <w:p>
      <w:pPr>
        <w:pStyle w:val="ListBullet"/>
      </w:pPr>
      <w:r>
        <w:t>• Pista 3: Piano Emotivo - Trust Builder (Instrumental para testimonios)</w:t>
      </w:r>
    </w:p>
    <w:p>
      <w:pPr>
        <w:pStyle w:val="ListBullet"/>
      </w:pPr>
      <w:r>
        <w:t>• Pista 4: Variante Rítmica (Fusión alternativa del tema principal)</w:t>
      </w:r>
    </w:p>
    <w:p>
      <w:pPr>
        <w:pStyle w:val="ListBullet"/>
      </w:pPr>
      <w:r>
        <w:t>• Licencia de uso comercial con cesión de derechos patrimoniales</w:t>
      </w:r>
    </w:p>
    <w:p>
      <w:pPr>
        <w:pStyle w:val="ListBullet"/>
      </w:pPr>
      <w:r>
        <w:t>• Formatos múltiples + stems individuales</w:t>
      </w:r>
    </w:p>
    <w:p>
      <w:pPr>
        <w:pStyle w:val="ListBullet"/>
      </w:pPr>
      <w:r>
        <w:t>• Uso ilimitado en todos los medios</w:t>
      </w:r>
    </w:p>
    <w:p>
      <w:pPr>
        <w:pStyle w:val="ListBullet"/>
      </w:pPr>
      <w:r>
        <w:t>• Soporte técnico prioritario</w:t>
      </w:r>
    </w:p>
    <w:p>
      <w:pPr>
        <w:pStyle w:val="ListBullet"/>
      </w:pPr>
      <w:r>
        <w:t>• Bonificación estratégica del 59% aplicada</w:t>
      </w:r>
    </w:p>
    <w:p>
      <w:r>
        <w:rPr>
          <w:b/>
        </w:rPr>
        <w:t>Inversión: $1,950</w:t>
      </w:r>
      <w:r>
        <w:t xml:space="preserve"> (Valor de mercado: $4,800 | Bonificación: -$2,850 | Tarifa preferencial)</w:t>
      </w:r>
    </w:p>
    <w:p>
      <w:r>
        <w:br w:type="page"/>
      </w:r>
    </w:p>
    <w:p>
      <w:pPr>
        <w:pStyle w:val="Heading1"/>
      </w:pPr>
      <w:r>
        <w:rPr>
          <w:color w:val="1E3A8A"/>
        </w:rPr>
        <w:t>Análisis Financiero y ROI</w:t>
      </w:r>
    </w:p>
    <w:p>
      <w:pPr>
        <w:pStyle w:val="Heading2"/>
      </w:pPr>
      <w:r>
        <w:rPr>
          <w:color w:val="2563EB"/>
        </w:rPr>
        <w:t>Comparación de Costos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Concepto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Música de Archivo</w:t>
            </w:r>
          </w:p>
        </w:tc>
        <w:tc>
          <w:tcPr>
            <w:tcW w:type="dxa" w:w="2880"/>
          </w:tcPr>
          <w:p>
            <w:r>
              <w:rPr>
                <w:b/>
              </w:rPr>
              <w:t>Escenario B</w:t>
            </w:r>
          </w:p>
        </w:tc>
      </w:tr>
      <w:tr>
        <w:tc>
          <w:tcPr>
            <w:tcW w:type="dxa" w:w="2880"/>
          </w:tcPr>
          <w:p>
            <w:r>
              <w:t>Licencia anual</w:t>
            </w:r>
          </w:p>
        </w:tc>
        <w:tc>
          <w:tcPr>
            <w:tcW w:type="dxa" w:w="2880"/>
          </w:tcPr>
          <w:p>
            <w:r>
              <w:t>$600-$1,100</w:t>
            </w:r>
          </w:p>
        </w:tc>
        <w:tc>
          <w:tcPr>
            <w:tcW w:type="dxa" w:w="2880"/>
          </w:tcPr>
          <w:p>
            <w:r>
              <w:t>$0</w:t>
            </w:r>
          </w:p>
        </w:tc>
      </w:tr>
      <w:tr>
        <w:tc>
          <w:tcPr>
            <w:tcW w:type="dxa" w:w="2880"/>
          </w:tcPr>
          <w:p>
            <w:r>
              <w:t>Tiempo de búsqueda</w:t>
            </w:r>
          </w:p>
        </w:tc>
        <w:tc>
          <w:tcPr>
            <w:tcW w:type="dxa" w:w="2880"/>
          </w:tcPr>
          <w:p>
            <w:r>
              <w:t>$500</w:t>
            </w:r>
          </w:p>
        </w:tc>
        <w:tc>
          <w:tcPr>
            <w:tcW w:type="dxa" w:w="2880"/>
          </w:tcPr>
          <w:p>
            <w:r>
              <w:t>$0</w:t>
            </w:r>
          </w:p>
        </w:tc>
      </w:tr>
      <w:tr>
        <w:tc>
          <w:tcPr>
            <w:tcW w:type="dxa" w:w="2880"/>
          </w:tcPr>
          <w:p>
            <w:r>
              <w:t>Renovación</w:t>
            </w:r>
          </w:p>
        </w:tc>
        <w:tc>
          <w:tcPr>
            <w:tcW w:type="dxa" w:w="2880"/>
          </w:tcPr>
          <w:p>
            <w:r>
              <w:t>Anual</w:t>
            </w:r>
          </w:p>
        </w:tc>
        <w:tc>
          <w:tcPr>
            <w:tcW w:type="dxa" w:w="2880"/>
          </w:tcPr>
          <w:p>
            <w:r>
              <w:t>No requerida</w:t>
            </w:r>
          </w:p>
        </w:tc>
      </w:tr>
      <w:tr>
        <w:tc>
          <w:tcPr>
            <w:tcW w:type="dxa" w:w="2880"/>
          </w:tcPr>
          <w:p>
            <w:r>
              <w:t>Diferenciación</w:t>
            </w:r>
          </w:p>
        </w:tc>
        <w:tc>
          <w:tcPr>
            <w:tcW w:type="dxa" w:w="2880"/>
          </w:tcPr>
          <w:p>
            <w:r>
              <w:t>Baja</w:t>
            </w:r>
          </w:p>
        </w:tc>
        <w:tc>
          <w:tcPr>
            <w:tcW w:type="dxa" w:w="2880"/>
          </w:tcPr>
          <w:p>
            <w:r>
              <w:t>Alta</w:t>
            </w:r>
          </w:p>
        </w:tc>
      </w:tr>
      <w:tr>
        <w:tc>
          <w:tcPr>
            <w:tcW w:type="dxa" w:w="2880"/>
          </w:tcPr>
          <w:p>
            <w:r>
              <w:t>Costo Total (2 años)</w:t>
            </w:r>
          </w:p>
        </w:tc>
        <w:tc>
          <w:tcPr>
            <w:tcW w:type="dxa" w:w="2880"/>
          </w:tcPr>
          <w:p>
            <w:r>
              <w:t>$3,200+</w:t>
            </w:r>
          </w:p>
        </w:tc>
        <w:tc>
          <w:tcPr>
            <w:tcW w:type="dxa" w:w="2880"/>
          </w:tcPr>
          <w:p>
            <w:r>
              <w:t>$1,950</w:t>
            </w:r>
          </w:p>
        </w:tc>
      </w:tr>
    </w:tbl>
    <w:p/>
    <w:p>
      <w:pPr>
        <w:pStyle w:val="Heading2"/>
      </w:pPr>
      <w:r>
        <w:rPr>
          <w:color w:val="2563EB"/>
        </w:rPr>
        <w:t>Retorno de Inversión</w:t>
      </w:r>
    </w:p>
    <w:p>
      <w:r>
        <w:rPr>
          <w:b/>
        </w:rPr>
        <w:t xml:space="preserve">Ahorro vs. música de archivo (primer año): </w:t>
      </w:r>
      <w:r>
        <w:t>$250</w:t>
        <w:br/>
      </w:r>
      <w:r>
        <w:rPr>
          <w:b/>
        </w:rPr>
        <w:t xml:space="preserve">Ahorro acumulado en segundo año: </w:t>
      </w:r>
      <w:r>
        <w:t>$1,850</w:t>
        <w:br/>
      </w:r>
      <w:r>
        <w:rPr>
          <w:b/>
        </w:rPr>
        <w:t xml:space="preserve">Bonificación estratégica aplicada: </w:t>
      </w:r>
      <w:r>
        <w:t>59% (Escenario B)</w:t>
      </w:r>
    </w:p>
    <w:p>
      <w:r>
        <w:br w:type="page"/>
      </w:r>
    </w:p>
    <w:p>
      <w:pPr>
        <w:pStyle w:val="Heading1"/>
      </w:pPr>
      <w:r>
        <w:rPr>
          <w:color w:val="1E3A8A"/>
        </w:rPr>
        <w:t>Términos de Licenciamiento y Protocolos</w:t>
      </w:r>
    </w:p>
    <w:p>
      <w:r>
        <w:t>Marco legal diseñado para garantizar la seguridad jurídica y la operatividad inmediata de los activos.</w:t>
      </w:r>
    </w:p>
    <w:p>
      <w:pPr>
        <w:pStyle w:val="Heading2"/>
      </w:pPr>
      <w:r>
        <w:rPr>
          <w:color w:val="2563EB"/>
        </w:rPr>
        <w:t>Términos Clave</w:t>
      </w:r>
    </w:p>
    <w:p>
      <w:pPr>
        <w:pStyle w:val="ListBullet"/>
      </w:pPr>
      <w:r>
        <w:t>Alcance de Cesión: InnovAi conserva derechos morales. ICPR adquiere derechos de explotación comercial según la opción seleccionada.</w:t>
      </w:r>
    </w:p>
    <w:p>
      <w:pPr>
        <w:pStyle w:val="ListBullet"/>
      </w:pPr>
      <w:r>
        <w:t>Territorio y Medios: Uso irrestricto en Puerto Rico y distribución digital global en canales institucionales.</w:t>
      </w:r>
    </w:p>
    <w:p>
      <w:pPr>
        <w:pStyle w:val="ListBullet"/>
      </w:pPr>
      <w:r>
        <w:t>Garantía de Indemnidad: Garantía de originalidad que exime a ICPR de responsabilidad legal frente a terceros.</w:t>
      </w:r>
    </w:p>
    <w:p>
      <w:pPr>
        <w:pStyle w:val="ListBullet"/>
      </w:pPr>
      <w:r>
        <w:t>Protocolo de Entrega: Descarga segura en &lt; 4 horas tras aceptación. Archivos con metadatos ID3 incrustados.</w:t>
      </w:r>
    </w:p>
    <w:p>
      <w:r>
        <w:br w:type="page"/>
      </w:r>
    </w:p>
    <w:p>
      <w:pPr>
        <w:pStyle w:val="Heading1"/>
      </w:pPr>
      <w:r>
        <w:rPr>
          <w:color w:val="1E3A8A"/>
        </w:rPr>
        <w:t>Próximos Pasos</w:t>
      </w:r>
    </w:p>
    <w:p>
      <w:pPr>
        <w:pStyle w:val="ListNumber"/>
      </w:pPr>
      <w:r>
        <w:t>1. Revisión y Aprobación: Evaluación de la propuesta por el equipo de ICPR y selección del escenario preferido (Escenario A: $450 | Escenario B: $1,950).</w:t>
      </w:r>
    </w:p>
    <w:p>
      <w:pPr>
        <w:pStyle w:val="ListNumber"/>
      </w:pPr>
      <w:r>
        <w:t>2. Firma de Acuerdo: Formalización del contrato de licenciamiento y procesamiento de pago.</w:t>
      </w:r>
    </w:p>
    <w:p>
      <w:pPr>
        <w:pStyle w:val="ListNumber"/>
      </w:pPr>
      <w:r>
        <w:t>3. Entrega de Activos: Descarga segura de archivos en menos de 4 horas tras confirmación de pago.</w:t>
      </w:r>
    </w:p>
    <w:p>
      <w:pPr>
        <w:pStyle w:val="ListNumber"/>
      </w:pPr>
      <w:r>
        <w:t>4. Implementación: Integración de activos sonoros en campañas digitales y canales institucionales.</w:t>
      </w:r>
    </w:p>
    <w:p>
      <w:pPr>
        <w:pStyle w:val="ListNumber"/>
      </w:pPr>
      <w:r>
        <w:t>5. Soporte Continuo: Asistencia técnica y consultoría para optimización de uso.</w:t>
      </w:r>
    </w:p>
    <w:p/>
    <w:p>
      <w:pPr>
        <w:pStyle w:val="Heading2"/>
      </w:pPr>
      <w:r>
        <w:rPr>
          <w:color w:val="2563EB"/>
        </w:rPr>
        <w:t>Información de Contacto</w:t>
      </w:r>
    </w:p>
    <w:p>
      <w:r>
        <w:rPr>
          <w:b/>
        </w:rPr>
        <w:t xml:space="preserve">Consultor Principal: </w:t>
      </w:r>
      <w:r>
        <w:t>René E. Rey</w:t>
        <w:br/>
      </w:r>
      <w:r>
        <w:rPr>
          <w:b/>
        </w:rPr>
        <w:t xml:space="preserve">Empresa: </w:t>
      </w:r>
      <w:r>
        <w:t>InnovAi Solutions</w:t>
        <w:br/>
      </w:r>
      <w:r>
        <w:rPr>
          <w:b/>
        </w:rPr>
        <w:t xml:space="preserve">Email: </w:t>
      </w:r>
      <w:r>
        <w:t>rerm06@gmail.com</w:t>
      </w:r>
    </w:p>
    <w:p>
      <w:r>
        <w:br w:type="page"/>
      </w:r>
    </w:p>
    <w:p>
      <w:pPr>
        <w:pStyle w:val="Heading1"/>
      </w:pPr>
      <w:r>
        <w:rPr>
          <w:color w:val="1E3A8A"/>
        </w:rPr>
        <w:t>Conclusiones y Propuesta de Valor</w:t>
      </w:r>
    </w:p>
    <w:p>
      <w:r>
        <w:t>Una estrategia integral que trasciende lo estético para convertirse en un activo de retención crítico.</w:t>
      </w:r>
    </w:p>
    <w:p>
      <w:pPr>
        <w:pStyle w:val="Heading2"/>
      </w:pPr>
      <w:r>
        <w:rPr>
          <w:color w:val="2563EB"/>
        </w:rPr>
        <w:t>Ventajas Competitivas</w:t>
      </w:r>
    </w:p>
    <w:p>
      <w:pPr>
        <w:pStyle w:val="ListBullet"/>
      </w:pPr>
      <w:r>
        <w:t>Identidad sonora culturalmente auténtica y relevante para el mercado puertorriqueño.</w:t>
      </w:r>
    </w:p>
    <w:p>
      <w:pPr>
        <w:pStyle w:val="ListBullet"/>
      </w:pPr>
      <w:r>
        <w:t>Calidad técnica broadcast ready y blindaje legal completo con garantía de indemnidad.</w:t>
      </w:r>
    </w:p>
    <w:p>
      <w:pPr>
        <w:pStyle w:val="ListBullet"/>
      </w:pPr>
      <w:r>
        <w:t>Optimización de costos mediante bonificación del 100% en el Escenario B.</w:t>
      </w:r>
    </w:p>
    <w:p>
      <w:pPr>
        <w:pStyle w:val="ListBullet"/>
      </w:pPr>
      <w:r>
        <w:t>Mitigación efectiva del "Ad Fatigue" en la campaña de matrícula Q4.</w:t>
      </w:r>
    </w:p>
    <w:p/>
    <w:p>
      <w:r>
        <w:rPr>
          <w:b/>
          <w:color w:val="1E3A8A"/>
        </w:rPr>
        <w:t>Garantizamos el dominio total de la narrativa sonora institucional para el ciclo de matrícula 2025-2026.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